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2B41D">
      <w:pPr>
        <w:pStyle w:val="4"/>
        <w:spacing w:before="0" w:after="0" w:line="48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重庆市第十八中学铁山坪校区逹才楼2-3楼国际部维修改造工程</w:t>
      </w:r>
    </w:p>
    <w:p w14:paraId="7B19D452">
      <w:pPr>
        <w:pStyle w:val="4"/>
        <w:spacing w:before="0" w:after="0" w:line="48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竞争性比选公告</w:t>
      </w:r>
    </w:p>
    <w:p w14:paraId="5223F47C">
      <w:pPr>
        <w:spacing w:line="360" w:lineRule="auto"/>
        <w:ind w:firstLine="482"/>
        <w:jc w:val="left"/>
        <w:rPr>
          <w:rFonts w:hint="eastAsia" w:ascii="仿宋" w:hAnsi="仿宋" w:eastAsia="仿宋" w:cs="仿宋"/>
          <w:b/>
          <w:color w:val="auto"/>
          <w:sz w:val="24"/>
          <w:szCs w:val="24"/>
          <w:highlight w:val="none"/>
        </w:rPr>
      </w:pPr>
      <w:bookmarkStart w:id="0" w:name="_Toc317775178"/>
      <w:bookmarkStart w:id="1" w:name="_Toc373860293"/>
      <w:r>
        <w:rPr>
          <w:rFonts w:hint="eastAsia" w:ascii="仿宋" w:hAnsi="仿宋" w:eastAsia="仿宋" w:cs="仿宋"/>
          <w:b/>
          <w:color w:val="auto"/>
          <w:sz w:val="24"/>
          <w:szCs w:val="24"/>
          <w:highlight w:val="none"/>
        </w:rPr>
        <w:t>1.比选条件</w:t>
      </w:r>
    </w:p>
    <w:p w14:paraId="59C73F3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本招标项目</w:t>
      </w:r>
      <w:r>
        <w:rPr>
          <w:rFonts w:hint="eastAsia" w:ascii="仿宋" w:hAnsi="仿宋" w:eastAsia="仿宋" w:cs="仿宋"/>
          <w:snapToGrid w:val="0"/>
          <w:color w:val="auto"/>
          <w:kern w:val="0"/>
          <w:sz w:val="24"/>
          <w:szCs w:val="24"/>
          <w:highlight w:val="none"/>
          <w:u w:val="single"/>
          <w:lang w:eastAsia="zh-CN"/>
        </w:rPr>
        <w:t>重庆市第十八中学铁山坪校区逹才楼2-3楼国际部维修改造工程</w:t>
      </w:r>
      <w:r>
        <w:rPr>
          <w:rFonts w:hint="eastAsia" w:ascii="仿宋" w:hAnsi="仿宋" w:eastAsia="仿宋" w:cs="仿宋"/>
          <w:snapToGrid w:val="0"/>
          <w:color w:val="auto"/>
          <w:kern w:val="0"/>
          <w:sz w:val="24"/>
          <w:szCs w:val="24"/>
          <w:highlight w:val="none"/>
        </w:rPr>
        <w:t>已由相关文件批准实施，比选招标人为</w:t>
      </w:r>
      <w:r>
        <w:rPr>
          <w:rFonts w:hint="eastAsia" w:ascii="仿宋" w:hAnsi="仿宋" w:eastAsia="仿宋" w:cs="仿宋"/>
          <w:snapToGrid w:val="0"/>
          <w:color w:val="auto"/>
          <w:kern w:val="0"/>
          <w:sz w:val="24"/>
          <w:szCs w:val="24"/>
          <w:highlight w:val="none"/>
          <w:u w:val="single"/>
        </w:rPr>
        <w:t>重庆市第十八中学</w:t>
      </w:r>
      <w:r>
        <w:rPr>
          <w:rFonts w:hint="eastAsia" w:ascii="仿宋" w:hAnsi="仿宋" w:eastAsia="仿宋" w:cs="仿宋"/>
          <w:snapToGrid w:val="0"/>
          <w:color w:val="auto"/>
          <w:kern w:val="0"/>
          <w:sz w:val="24"/>
          <w:szCs w:val="24"/>
          <w:highlight w:val="none"/>
        </w:rPr>
        <w:t>，建设资金来源为</w:t>
      </w:r>
      <w:r>
        <w:rPr>
          <w:rFonts w:hint="eastAsia" w:ascii="仿宋" w:hAnsi="仿宋" w:eastAsia="仿宋" w:cs="仿宋"/>
          <w:snapToGrid w:val="0"/>
          <w:color w:val="auto"/>
          <w:kern w:val="0"/>
          <w:sz w:val="24"/>
          <w:szCs w:val="24"/>
          <w:highlight w:val="none"/>
          <w:u w:val="single"/>
          <w:lang w:eastAsia="zh-CN"/>
        </w:rPr>
        <w:t>自筹资金</w:t>
      </w:r>
      <w:r>
        <w:rPr>
          <w:rFonts w:hint="eastAsia" w:ascii="仿宋" w:hAnsi="仿宋" w:eastAsia="仿宋" w:cs="仿宋"/>
          <w:color w:val="auto"/>
          <w:sz w:val="24"/>
          <w:szCs w:val="24"/>
          <w:highlight w:val="none"/>
        </w:rPr>
        <w:t>。本项目已具备竞争性比选招标条件，现对本工程进行竞争性比选招标。</w:t>
      </w:r>
    </w:p>
    <w:p w14:paraId="46B00A55">
      <w:pPr>
        <w:spacing w:line="360" w:lineRule="auto"/>
        <w:ind w:firstLine="482"/>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2.项目概况与比选范围</w:t>
      </w:r>
    </w:p>
    <w:p w14:paraId="6FB0187C">
      <w:pPr>
        <w:spacing w:line="360" w:lineRule="auto"/>
        <w:ind w:firstLine="504" w:firstLineChars="21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2.1 项目建设地点：</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u w:val="single"/>
          <w:lang w:eastAsia="zh-CN"/>
        </w:rPr>
        <w:t>重庆市第十八中学</w:t>
      </w:r>
      <w:r>
        <w:rPr>
          <w:rFonts w:hint="eastAsia" w:ascii="仿宋" w:hAnsi="仿宋" w:eastAsia="仿宋" w:cs="仿宋"/>
          <w:bCs/>
          <w:color w:val="auto"/>
          <w:kern w:val="0"/>
          <w:sz w:val="24"/>
          <w:szCs w:val="24"/>
          <w:highlight w:val="none"/>
          <w:u w:val="single"/>
          <w:lang w:val="en-US" w:eastAsia="zh-CN"/>
        </w:rPr>
        <w:t>铁山坪</w:t>
      </w:r>
      <w:r>
        <w:rPr>
          <w:rFonts w:hint="eastAsia" w:ascii="仿宋" w:hAnsi="仿宋" w:eastAsia="仿宋" w:cs="仿宋"/>
          <w:bCs/>
          <w:color w:val="auto"/>
          <w:kern w:val="0"/>
          <w:sz w:val="24"/>
          <w:szCs w:val="24"/>
          <w:highlight w:val="none"/>
          <w:u w:val="single"/>
          <w:lang w:eastAsia="zh-CN"/>
        </w:rPr>
        <w:t>校区</w:t>
      </w:r>
      <w:r>
        <w:rPr>
          <w:rFonts w:hint="eastAsia" w:ascii="仿宋" w:hAnsi="仿宋" w:eastAsia="仿宋" w:cs="仿宋"/>
          <w:bCs/>
          <w:color w:val="auto"/>
          <w:kern w:val="0"/>
          <w:sz w:val="24"/>
          <w:szCs w:val="24"/>
          <w:highlight w:val="none"/>
        </w:rPr>
        <w:t xml:space="preserve">； </w:t>
      </w:r>
    </w:p>
    <w:p w14:paraId="7C7DFCB0">
      <w:pPr>
        <w:spacing w:line="360" w:lineRule="auto"/>
        <w:ind w:firstLine="504" w:firstLineChars="21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2.2项目内容及规模：重庆市第十八中学铁山坪校区逹才楼2-3楼国际部8间房间的拆除、地面、墙面、天棚装饰、电气安装等维修改造内容</w:t>
      </w:r>
      <w:r>
        <w:rPr>
          <w:rFonts w:hint="eastAsia" w:ascii="仿宋" w:hAnsi="仿宋" w:eastAsia="仿宋" w:cs="仿宋"/>
          <w:bCs/>
          <w:color w:val="auto"/>
          <w:kern w:val="0"/>
          <w:sz w:val="24"/>
          <w:szCs w:val="24"/>
          <w:highlight w:val="none"/>
          <w:u w:val="none"/>
          <w:lang w:eastAsia="zh-CN"/>
        </w:rPr>
        <w:t>，</w:t>
      </w:r>
      <w:r>
        <w:rPr>
          <w:rFonts w:hint="eastAsia" w:ascii="仿宋" w:hAnsi="仿宋" w:eastAsia="仿宋" w:cs="仿宋"/>
          <w:bCs/>
          <w:color w:val="auto"/>
          <w:kern w:val="0"/>
          <w:sz w:val="24"/>
          <w:szCs w:val="24"/>
          <w:highlight w:val="none"/>
          <w:u w:val="none"/>
        </w:rPr>
        <w:t>总投资约</w:t>
      </w:r>
      <w:r>
        <w:rPr>
          <w:rFonts w:hint="eastAsia" w:ascii="仿宋" w:hAnsi="仿宋" w:eastAsia="仿宋" w:cs="仿宋"/>
          <w:bCs/>
          <w:color w:val="auto"/>
          <w:kern w:val="0"/>
          <w:sz w:val="24"/>
          <w:szCs w:val="24"/>
          <w:highlight w:val="none"/>
          <w:u w:val="none"/>
          <w:lang w:val="en-US" w:eastAsia="zh-CN"/>
        </w:rPr>
        <w:t>26.18万</w:t>
      </w:r>
      <w:r>
        <w:rPr>
          <w:rFonts w:hint="eastAsia" w:ascii="仿宋" w:hAnsi="仿宋" w:eastAsia="仿宋" w:cs="仿宋"/>
          <w:bCs/>
          <w:color w:val="auto"/>
          <w:kern w:val="0"/>
          <w:sz w:val="24"/>
          <w:szCs w:val="24"/>
          <w:highlight w:val="none"/>
          <w:u w:val="none"/>
        </w:rPr>
        <w:t>元</w:t>
      </w:r>
      <w:r>
        <w:rPr>
          <w:rFonts w:hint="eastAsia" w:ascii="仿宋" w:hAnsi="仿宋" w:eastAsia="仿宋" w:cs="仿宋"/>
          <w:bCs/>
          <w:color w:val="auto"/>
          <w:kern w:val="0"/>
          <w:sz w:val="24"/>
          <w:szCs w:val="24"/>
          <w:highlight w:val="none"/>
        </w:rPr>
        <w:t xml:space="preserve">。 </w:t>
      </w:r>
    </w:p>
    <w:p w14:paraId="78C53860">
      <w:pPr>
        <w:spacing w:line="360" w:lineRule="auto"/>
        <w:ind w:firstLine="480" w:firstLineChars="200"/>
        <w:jc w:val="left"/>
        <w:rPr>
          <w:rFonts w:hint="eastAsia" w:ascii="仿宋" w:hAnsi="仿宋" w:eastAsia="仿宋" w:cs="仿宋"/>
          <w:snapToGrid w:val="0"/>
          <w:color w:val="auto"/>
          <w:kern w:val="0"/>
          <w:sz w:val="24"/>
          <w:szCs w:val="24"/>
          <w:highlight w:val="none"/>
        </w:rPr>
      </w:pPr>
      <w:r>
        <w:rPr>
          <w:rFonts w:hint="eastAsia" w:ascii="仿宋" w:hAnsi="仿宋" w:eastAsia="仿宋" w:cs="仿宋"/>
          <w:bCs/>
          <w:color w:val="auto"/>
          <w:kern w:val="0"/>
          <w:sz w:val="24"/>
          <w:szCs w:val="24"/>
          <w:highlight w:val="none"/>
        </w:rPr>
        <w:t>2.3计划工期：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 xml:space="preserve"> </w:t>
      </w:r>
      <w:r>
        <w:rPr>
          <w:rFonts w:hint="eastAsia" w:ascii="仿宋" w:hAnsi="仿宋" w:eastAsia="仿宋" w:cs="仿宋"/>
          <w:snapToGrid w:val="0"/>
          <w:color w:val="auto"/>
          <w:kern w:val="0"/>
          <w:sz w:val="24"/>
          <w:szCs w:val="24"/>
          <w:highlight w:val="none"/>
        </w:rPr>
        <w:t>日历天；</w:t>
      </w:r>
    </w:p>
    <w:p w14:paraId="5FDBE2C1">
      <w:pPr>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2.5 招标范围：</w:t>
      </w:r>
      <w:r>
        <w:rPr>
          <w:rFonts w:hint="eastAsia" w:ascii="仿宋" w:hAnsi="仿宋" w:eastAsia="仿宋" w:cs="仿宋"/>
          <w:bCs/>
          <w:color w:val="auto"/>
          <w:kern w:val="0"/>
          <w:sz w:val="24"/>
          <w:szCs w:val="24"/>
          <w:highlight w:val="none"/>
          <w:lang w:eastAsia="zh-CN"/>
        </w:rPr>
        <w:t>本次招标活动所提供的施工图以及比选招标人提供的答疑资料、澄清资料、其他补遗资料等相关内容；具体详见比选招标人发布的工程量清单及施工图</w:t>
      </w:r>
      <w:r>
        <w:rPr>
          <w:rFonts w:hint="eastAsia" w:ascii="仿宋" w:hAnsi="仿宋" w:eastAsia="仿宋" w:cs="仿宋"/>
          <w:bCs/>
          <w:color w:val="auto"/>
          <w:kern w:val="0"/>
          <w:sz w:val="24"/>
          <w:szCs w:val="24"/>
          <w:highlight w:val="none"/>
        </w:rPr>
        <w:t>。</w:t>
      </w:r>
    </w:p>
    <w:p w14:paraId="4A4DD6CE">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3.资格要求</w:t>
      </w:r>
    </w:p>
    <w:p w14:paraId="70208A9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3.1竞标单位须具有</w:t>
      </w:r>
      <w:r>
        <w:rPr>
          <w:rFonts w:hint="eastAsia" w:ascii="仿宋" w:hAnsi="仿宋" w:eastAsia="仿宋" w:cs="仿宋"/>
          <w:b/>
          <w:bCs/>
          <w:color w:val="auto"/>
          <w:sz w:val="24"/>
          <w:szCs w:val="24"/>
          <w:highlight w:val="none"/>
          <w:u w:val="single"/>
        </w:rPr>
        <w:t>建筑工程施工总承包三级或建筑装修装饰工程专业承包二级及以上资质</w:t>
      </w:r>
      <w:r>
        <w:rPr>
          <w:rFonts w:hint="eastAsia" w:ascii="仿宋" w:hAnsi="仿宋" w:eastAsia="仿宋" w:cs="仿宋"/>
          <w:color w:val="auto"/>
          <w:sz w:val="24"/>
          <w:szCs w:val="24"/>
          <w:highlight w:val="none"/>
        </w:rPr>
        <w:t>，提供有效的资质证书复印件并加盖单位公章（鲜章）。</w:t>
      </w:r>
    </w:p>
    <w:p w14:paraId="47F38E79">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3.2 202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年1月1日至今，竞标单位累计3次在重庆市第十八中学和重庆市江北区御龙天峰十八中学的其他工程/项目中成为中标人的，则不能参加本项目的竞争性比选</w:t>
      </w:r>
      <w:r>
        <w:rPr>
          <w:rFonts w:hint="eastAsia" w:ascii="仿宋" w:hAnsi="仿宋" w:eastAsia="仿宋" w:cs="仿宋"/>
          <w:color w:val="auto"/>
          <w:sz w:val="24"/>
          <w:szCs w:val="24"/>
          <w:highlight w:val="none"/>
          <w:lang w:eastAsia="zh-CN"/>
        </w:rPr>
        <w:t>。</w:t>
      </w:r>
    </w:p>
    <w:p w14:paraId="6B5F32E0">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3.3未被重庆市第十八中学列入黑名单，否则不能参加本项目的比选活动。</w:t>
      </w:r>
    </w:p>
    <w:p w14:paraId="3F713D4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3.4含有同一股东的不同竞标单位，不得同时参加本项目的比选活动；须在响应文件中提供企业股东构成证明文件加盖单位公章</w:t>
      </w:r>
      <w:r>
        <w:rPr>
          <w:rFonts w:hint="eastAsia" w:ascii="仿宋" w:hAnsi="仿宋" w:eastAsia="仿宋" w:cs="仿宋"/>
          <w:color w:val="auto"/>
          <w:sz w:val="24"/>
          <w:szCs w:val="24"/>
          <w:highlight w:val="none"/>
        </w:rPr>
        <w:t>。</w:t>
      </w:r>
    </w:p>
    <w:p w14:paraId="661FF29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本次招标不接受联合体竞标。</w:t>
      </w:r>
    </w:p>
    <w:p w14:paraId="506C65D9">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4.竞争性比选文件的获取</w:t>
      </w:r>
    </w:p>
    <w:p w14:paraId="51E70DAD">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4.1</w:t>
      </w:r>
      <w:r>
        <w:rPr>
          <w:rFonts w:hint="eastAsia" w:ascii="仿宋" w:hAnsi="仿宋" w:eastAsia="仿宋" w:cs="仿宋"/>
          <w:snapToGrid w:val="0"/>
          <w:color w:val="auto"/>
          <w:kern w:val="0"/>
          <w:sz w:val="24"/>
          <w:szCs w:val="24"/>
          <w:highlight w:val="none"/>
        </w:rPr>
        <w:t>凡有意参加比选的</w:t>
      </w:r>
      <w:r>
        <w:rPr>
          <w:rFonts w:hint="eastAsia" w:ascii="仿宋" w:hAnsi="仿宋" w:eastAsia="仿宋" w:cs="仿宋"/>
          <w:snapToGrid w:val="0"/>
          <w:color w:val="auto"/>
          <w:kern w:val="0"/>
          <w:sz w:val="24"/>
          <w:szCs w:val="24"/>
          <w:highlight w:val="none"/>
          <w:lang w:eastAsia="zh-CN"/>
        </w:rPr>
        <w:t>竞标单位</w:t>
      </w:r>
      <w:r>
        <w:rPr>
          <w:rFonts w:hint="eastAsia" w:ascii="仿宋" w:hAnsi="仿宋" w:eastAsia="仿宋" w:cs="仿宋"/>
          <w:snapToGrid w:val="0"/>
          <w:color w:val="auto"/>
          <w:kern w:val="0"/>
          <w:sz w:val="24"/>
          <w:szCs w:val="24"/>
          <w:highlight w:val="none"/>
        </w:rPr>
        <w:t>，请到比选代理机构处获取本项目竞争性比选文件等比选前公布的所有项目资料。</w:t>
      </w:r>
    </w:p>
    <w:p w14:paraId="5FF2B03F">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4.2</w:t>
      </w:r>
      <w:r>
        <w:rPr>
          <w:rFonts w:hint="eastAsia" w:ascii="仿宋" w:hAnsi="仿宋" w:eastAsia="仿宋" w:cs="仿宋"/>
          <w:snapToGrid w:val="0"/>
          <w:color w:val="auto"/>
          <w:kern w:val="0"/>
          <w:sz w:val="24"/>
          <w:szCs w:val="24"/>
          <w:highlight w:val="none"/>
        </w:rPr>
        <w:t>竞争性比选文件提供期限：202</w:t>
      </w: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年</w:t>
      </w:r>
      <w:r>
        <w:rPr>
          <w:rFonts w:hint="eastAsia" w:ascii="仿宋" w:hAnsi="仿宋" w:eastAsia="仿宋" w:cs="仿宋"/>
          <w:snapToGrid w:val="0"/>
          <w:color w:val="auto"/>
          <w:kern w:val="0"/>
          <w:sz w:val="24"/>
          <w:szCs w:val="24"/>
          <w:highlight w:val="none"/>
          <w:lang w:val="en-US" w:eastAsia="zh-CN"/>
        </w:rPr>
        <w:t>07</w:t>
      </w:r>
      <w:r>
        <w:rPr>
          <w:rFonts w:hint="eastAsia" w:ascii="仿宋" w:hAnsi="仿宋" w:eastAsia="仿宋" w:cs="仿宋"/>
          <w:snapToGrid w:val="0"/>
          <w:color w:val="auto"/>
          <w:kern w:val="0"/>
          <w:sz w:val="24"/>
          <w:szCs w:val="24"/>
          <w:highlight w:val="none"/>
        </w:rPr>
        <w:t>月</w:t>
      </w:r>
      <w:r>
        <w:rPr>
          <w:rFonts w:hint="eastAsia" w:ascii="仿宋" w:hAnsi="仿宋" w:eastAsia="仿宋" w:cs="仿宋"/>
          <w:snapToGrid w:val="0"/>
          <w:color w:val="auto"/>
          <w:kern w:val="0"/>
          <w:sz w:val="24"/>
          <w:szCs w:val="24"/>
          <w:highlight w:val="none"/>
          <w:lang w:val="en-US" w:eastAsia="zh-CN"/>
        </w:rPr>
        <w:t>09</w:t>
      </w:r>
      <w:r>
        <w:rPr>
          <w:rFonts w:hint="eastAsia" w:ascii="仿宋" w:hAnsi="仿宋" w:eastAsia="仿宋" w:cs="仿宋"/>
          <w:snapToGrid w:val="0"/>
          <w:color w:val="auto"/>
          <w:kern w:val="0"/>
          <w:sz w:val="24"/>
          <w:szCs w:val="24"/>
          <w:highlight w:val="none"/>
        </w:rPr>
        <w:t>日（早上9:00—12：00，下午14:00—17:00，北京时间）。</w:t>
      </w:r>
    </w:p>
    <w:p w14:paraId="7A7C8EFD">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4.3</w:t>
      </w:r>
      <w:r>
        <w:rPr>
          <w:rFonts w:hint="eastAsia" w:ascii="仿宋" w:hAnsi="仿宋" w:eastAsia="仿宋" w:cs="仿宋"/>
          <w:snapToGrid w:val="0"/>
          <w:color w:val="auto"/>
          <w:kern w:val="0"/>
          <w:sz w:val="24"/>
          <w:szCs w:val="24"/>
          <w:highlight w:val="none"/>
        </w:rPr>
        <w:t>竞争性比选文件的获取方式</w:t>
      </w:r>
    </w:p>
    <w:p w14:paraId="4FAD9181">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本项目竞争性比选文件费为</w:t>
      </w:r>
      <w:r>
        <w:rPr>
          <w:rFonts w:hint="eastAsia" w:ascii="仿宋" w:hAnsi="仿宋" w:eastAsia="仿宋" w:cs="仿宋"/>
          <w:b/>
          <w:bCs/>
          <w:snapToGrid w:val="0"/>
          <w:color w:val="auto"/>
          <w:kern w:val="0"/>
          <w:sz w:val="24"/>
          <w:szCs w:val="24"/>
          <w:highlight w:val="none"/>
          <w:u w:val="single"/>
        </w:rPr>
        <w:t>300元/包</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CN"/>
        </w:rPr>
        <w:t>竞标单位</w:t>
      </w:r>
      <w:r>
        <w:rPr>
          <w:rFonts w:hint="eastAsia" w:ascii="仿宋" w:hAnsi="仿宋" w:eastAsia="仿宋" w:cs="仿宋"/>
          <w:snapToGrid w:val="0"/>
          <w:color w:val="auto"/>
          <w:kern w:val="0"/>
          <w:sz w:val="24"/>
          <w:szCs w:val="24"/>
          <w:highlight w:val="none"/>
        </w:rPr>
        <w:t>可以通过网络登记或者现场登记方式在比选代理机构处购买竞争性比选文件，未在比选代理机构登记获取竞争性比选文件的，没有资格参加本项目的比选活动，响应文件按</w:t>
      </w:r>
      <w:r>
        <w:rPr>
          <w:rFonts w:hint="eastAsia" w:ascii="仿宋" w:hAnsi="仿宋" w:eastAsia="仿宋" w:cs="仿宋"/>
          <w:snapToGrid w:val="0"/>
          <w:color w:val="auto"/>
          <w:kern w:val="0"/>
          <w:sz w:val="24"/>
          <w:szCs w:val="24"/>
          <w:highlight w:val="none"/>
          <w:lang w:val="en-US" w:eastAsia="zh-CN"/>
        </w:rPr>
        <w:t>废标</w:t>
      </w:r>
      <w:r>
        <w:rPr>
          <w:rFonts w:hint="eastAsia" w:ascii="仿宋" w:hAnsi="仿宋" w:eastAsia="仿宋" w:cs="仿宋"/>
          <w:snapToGrid w:val="0"/>
          <w:color w:val="auto"/>
          <w:kern w:val="0"/>
          <w:sz w:val="24"/>
          <w:szCs w:val="24"/>
          <w:highlight w:val="none"/>
        </w:rPr>
        <w:t>处理。</w:t>
      </w:r>
    </w:p>
    <w:p w14:paraId="3BD7EE62">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1、网络登记方式：请将“</w:t>
      </w:r>
      <w:r>
        <w:rPr>
          <w:rFonts w:hint="eastAsia" w:ascii="仿宋" w:hAnsi="仿宋" w:eastAsia="仿宋" w:cs="仿宋"/>
          <w:snapToGrid w:val="0"/>
          <w:color w:val="auto"/>
          <w:kern w:val="0"/>
          <w:sz w:val="24"/>
          <w:szCs w:val="24"/>
          <w:highlight w:val="none"/>
          <w:lang w:val="en-US" w:eastAsia="zh-CN"/>
        </w:rPr>
        <w:t>营业执照、股东构成证明文件、</w:t>
      </w:r>
      <w:r>
        <w:rPr>
          <w:rFonts w:hint="eastAsia" w:ascii="仿宋" w:hAnsi="仿宋" w:eastAsia="仿宋" w:cs="仿宋"/>
          <w:snapToGrid w:val="0"/>
          <w:color w:val="auto"/>
          <w:kern w:val="0"/>
          <w:sz w:val="24"/>
          <w:szCs w:val="24"/>
          <w:highlight w:val="none"/>
        </w:rPr>
        <w:t>《登记表》（填写完所有信息并加盖</w:t>
      </w:r>
      <w:r>
        <w:rPr>
          <w:rFonts w:hint="eastAsia" w:ascii="仿宋" w:hAnsi="仿宋" w:eastAsia="仿宋" w:cs="仿宋"/>
          <w:snapToGrid w:val="0"/>
          <w:color w:val="auto"/>
          <w:kern w:val="0"/>
          <w:sz w:val="24"/>
          <w:szCs w:val="24"/>
          <w:highlight w:val="none"/>
          <w:lang w:eastAsia="zh-CN"/>
        </w:rPr>
        <w:t>竞标单位</w:t>
      </w:r>
      <w:r>
        <w:rPr>
          <w:rFonts w:hint="eastAsia" w:ascii="仿宋" w:hAnsi="仿宋" w:eastAsia="仿宋" w:cs="仿宋"/>
          <w:snapToGrid w:val="0"/>
          <w:color w:val="auto"/>
          <w:kern w:val="0"/>
          <w:sz w:val="24"/>
          <w:szCs w:val="24"/>
          <w:highlight w:val="none"/>
        </w:rPr>
        <w:t>公章）”扫描件发送至邮箱cqxinyu2014@163.com并致电代理机构进行登记缴费后，比选代理机构工作人员将竞争性比选文件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含工程量清单、施工图等</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通过电子邮件的方式发送至登记的</w:t>
      </w:r>
      <w:r>
        <w:rPr>
          <w:rFonts w:hint="eastAsia" w:ascii="仿宋" w:hAnsi="仿宋" w:eastAsia="仿宋" w:cs="仿宋"/>
          <w:snapToGrid w:val="0"/>
          <w:color w:val="auto"/>
          <w:kern w:val="0"/>
          <w:sz w:val="24"/>
          <w:szCs w:val="24"/>
          <w:highlight w:val="none"/>
          <w:lang w:eastAsia="zh-CN"/>
        </w:rPr>
        <w:t>竞标单位</w:t>
      </w:r>
      <w:r>
        <w:rPr>
          <w:rFonts w:hint="eastAsia" w:ascii="仿宋" w:hAnsi="仿宋" w:eastAsia="仿宋" w:cs="仿宋"/>
          <w:snapToGrid w:val="0"/>
          <w:color w:val="auto"/>
          <w:kern w:val="0"/>
          <w:sz w:val="24"/>
          <w:szCs w:val="24"/>
          <w:highlight w:val="none"/>
        </w:rPr>
        <w:t>代表的邮箱。</w:t>
      </w:r>
    </w:p>
    <w:p w14:paraId="797DC107">
      <w:pPr>
        <w:spacing w:line="360" w:lineRule="auto"/>
        <w:ind w:left="238" w:leftChars="85" w:firstLine="240" w:firstLineChars="100"/>
        <w:jc w:val="left"/>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rPr>
        <w:t>2、现场登记方式：</w:t>
      </w:r>
      <w:r>
        <w:rPr>
          <w:rFonts w:hint="eastAsia" w:ascii="仿宋" w:hAnsi="仿宋" w:eastAsia="仿宋" w:cs="仿宋"/>
          <w:snapToGrid w:val="0"/>
          <w:color w:val="auto"/>
          <w:kern w:val="0"/>
          <w:sz w:val="24"/>
          <w:szCs w:val="24"/>
          <w:highlight w:val="none"/>
          <w:lang w:eastAsia="zh-CN"/>
        </w:rPr>
        <w:t>竞标单位</w:t>
      </w:r>
      <w:r>
        <w:rPr>
          <w:rFonts w:hint="eastAsia" w:ascii="仿宋" w:hAnsi="仿宋" w:eastAsia="仿宋" w:cs="仿宋"/>
          <w:snapToGrid w:val="0"/>
          <w:color w:val="auto"/>
          <w:kern w:val="0"/>
          <w:sz w:val="24"/>
          <w:szCs w:val="24"/>
          <w:highlight w:val="none"/>
        </w:rPr>
        <w:t>代表持“</w:t>
      </w:r>
      <w:r>
        <w:rPr>
          <w:rFonts w:hint="eastAsia" w:ascii="仿宋" w:hAnsi="仿宋" w:eastAsia="仿宋" w:cs="仿宋"/>
          <w:snapToGrid w:val="0"/>
          <w:color w:val="auto"/>
          <w:kern w:val="0"/>
          <w:sz w:val="24"/>
          <w:szCs w:val="24"/>
          <w:highlight w:val="none"/>
          <w:lang w:val="en-US" w:eastAsia="zh-CN"/>
        </w:rPr>
        <w:t>营业执照及股东构成证明文件复印件、</w:t>
      </w:r>
      <w:r>
        <w:rPr>
          <w:rFonts w:hint="eastAsia" w:ascii="仿宋" w:hAnsi="仿宋" w:eastAsia="仿宋" w:cs="仿宋"/>
          <w:snapToGrid w:val="0"/>
          <w:color w:val="auto"/>
          <w:kern w:val="0"/>
          <w:sz w:val="24"/>
          <w:szCs w:val="24"/>
          <w:highlight w:val="none"/>
        </w:rPr>
        <w:t>《登记表》（填写完所有信息并加盖比选招标人公章）原件”到重庆鑫玉建设项目管理有限公司（重庆市渝北区佳园路66号浩博星辰8F）处购买本项目的争性比选文件</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含工程量清单、施工图等</w:t>
      </w:r>
      <w:r>
        <w:rPr>
          <w:rFonts w:hint="eastAsia" w:ascii="仿宋" w:hAnsi="仿宋" w:eastAsia="仿宋" w:cs="仿宋"/>
          <w:snapToGrid w:val="0"/>
          <w:color w:val="auto"/>
          <w:kern w:val="0"/>
          <w:sz w:val="24"/>
          <w:szCs w:val="24"/>
          <w:highlight w:val="none"/>
          <w:lang w:eastAsia="zh-CN"/>
        </w:rPr>
        <w:t>）。</w:t>
      </w:r>
    </w:p>
    <w:p w14:paraId="345E36D7">
      <w:pPr>
        <w:spacing w:line="360" w:lineRule="auto"/>
        <w:ind w:left="238" w:leftChars="85" w:firstLine="241" w:firstLineChars="100"/>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lang w:val="en-US" w:eastAsia="zh-CN"/>
        </w:rPr>
        <w:t>注：</w:t>
      </w:r>
      <w:r>
        <w:rPr>
          <w:rFonts w:hint="eastAsia" w:ascii="仿宋" w:hAnsi="仿宋" w:eastAsia="仿宋" w:cs="仿宋"/>
          <w:b/>
          <w:bCs/>
          <w:color w:val="auto"/>
          <w:sz w:val="24"/>
          <w:szCs w:val="24"/>
          <w:highlight w:val="none"/>
          <w:lang w:val="en-US" w:eastAsia="zh-CN"/>
        </w:rPr>
        <w:t>含有同一股东的不同竞标单位申请登记的，以先登记成功的为准，否则比选招标人及咨询机构将拒绝向其发售竞争性比选文件</w:t>
      </w:r>
      <w:r>
        <w:rPr>
          <w:rFonts w:hint="eastAsia" w:ascii="仿宋" w:hAnsi="仿宋" w:eastAsia="仿宋" w:cs="仿宋"/>
          <w:b/>
          <w:bCs/>
          <w:snapToGrid w:val="0"/>
          <w:color w:val="auto"/>
          <w:kern w:val="0"/>
          <w:sz w:val="24"/>
          <w:szCs w:val="24"/>
          <w:highlight w:val="none"/>
        </w:rPr>
        <w:t>。</w:t>
      </w:r>
    </w:p>
    <w:p w14:paraId="23EF8E8F">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5.竞标文件的递交</w:t>
      </w:r>
    </w:p>
    <w:p w14:paraId="229BEB2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5.1竞标文件递交时间：202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时00 分至202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 30分（北京时间），逾期递交的竞标文件，比选招标人和咨询机构不予受理。</w:t>
      </w:r>
    </w:p>
    <w:p w14:paraId="680B84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5.2竞标文件递交地点：</w:t>
      </w:r>
      <w:r>
        <w:rPr>
          <w:rFonts w:hint="eastAsia" w:ascii="仿宋" w:hAnsi="仿宋" w:eastAsia="仿宋" w:cs="仿宋"/>
          <w:color w:val="auto"/>
          <w:sz w:val="24"/>
          <w:szCs w:val="24"/>
          <w:highlight w:val="none"/>
          <w:lang w:eastAsia="zh-CN"/>
        </w:rPr>
        <w:t>重庆市第十八中学观音桥区10楼会议室</w:t>
      </w:r>
      <w:r>
        <w:rPr>
          <w:rFonts w:hint="eastAsia" w:ascii="仿宋" w:hAnsi="仿宋" w:eastAsia="仿宋" w:cs="仿宋"/>
          <w:color w:val="auto"/>
          <w:sz w:val="24"/>
          <w:szCs w:val="24"/>
          <w:highlight w:val="none"/>
        </w:rPr>
        <w:t>。</w:t>
      </w:r>
    </w:p>
    <w:p w14:paraId="0FDD1C4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5.3评审地点：</w:t>
      </w:r>
      <w:r>
        <w:rPr>
          <w:rFonts w:hint="eastAsia" w:ascii="仿宋" w:hAnsi="仿宋" w:eastAsia="仿宋" w:cs="仿宋"/>
          <w:color w:val="auto"/>
          <w:sz w:val="24"/>
          <w:szCs w:val="24"/>
          <w:highlight w:val="none"/>
          <w:lang w:eastAsia="zh-CN"/>
        </w:rPr>
        <w:t>重庆市第十八中学观音桥区10楼会议室</w:t>
      </w:r>
      <w:r>
        <w:rPr>
          <w:rFonts w:hint="eastAsia" w:ascii="仿宋" w:hAnsi="仿宋" w:eastAsia="仿宋" w:cs="仿宋"/>
          <w:color w:val="auto"/>
          <w:sz w:val="24"/>
          <w:szCs w:val="24"/>
          <w:highlight w:val="none"/>
        </w:rPr>
        <w:t>。</w:t>
      </w:r>
    </w:p>
    <w:p w14:paraId="25A84C0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5.4开标时间：202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分，开标地点同评审地点。</w:t>
      </w:r>
    </w:p>
    <w:p w14:paraId="7A2E661A">
      <w:p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6．联系方式</w:t>
      </w:r>
    </w:p>
    <w:p w14:paraId="6BC02C2C">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比选招标人：</w:t>
      </w:r>
      <w:r>
        <w:rPr>
          <w:rFonts w:hint="eastAsia" w:ascii="仿宋" w:hAnsi="仿宋" w:eastAsia="仿宋" w:cs="仿宋"/>
          <w:bCs/>
          <w:color w:val="auto"/>
          <w:kern w:val="0"/>
          <w:sz w:val="24"/>
          <w:szCs w:val="24"/>
          <w:highlight w:val="none"/>
          <w:u w:val="single"/>
        </w:rPr>
        <w:t>重庆市第十八中学</w:t>
      </w:r>
      <w:r>
        <w:rPr>
          <w:rFonts w:hint="eastAsia" w:ascii="仿宋" w:hAnsi="仿宋" w:eastAsia="仿宋" w:cs="仿宋"/>
          <w:color w:val="auto"/>
          <w:kern w:val="0"/>
          <w:sz w:val="24"/>
          <w:szCs w:val="24"/>
          <w:highlight w:val="none"/>
        </w:rPr>
        <w:t xml:space="preserve">             咨询机构：</w:t>
      </w:r>
      <w:r>
        <w:rPr>
          <w:rFonts w:hint="eastAsia" w:ascii="仿宋" w:hAnsi="仿宋" w:eastAsia="仿宋" w:cs="仿宋"/>
          <w:color w:val="auto"/>
          <w:kern w:val="0"/>
          <w:sz w:val="24"/>
          <w:szCs w:val="24"/>
          <w:highlight w:val="none"/>
          <w:u w:val="single"/>
        </w:rPr>
        <w:t>重庆鑫玉建设项目管理有限公司</w:t>
      </w:r>
    </w:p>
    <w:p w14:paraId="5AA5C35B">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谭老师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汪</w:t>
      </w:r>
      <w:r>
        <w:rPr>
          <w:rFonts w:hint="eastAsia" w:ascii="仿宋" w:hAnsi="仿宋" w:eastAsia="仿宋" w:cs="仿宋"/>
          <w:color w:val="auto"/>
          <w:sz w:val="24"/>
          <w:szCs w:val="24"/>
          <w:highlight w:val="none"/>
          <w:u w:val="single"/>
        </w:rPr>
        <w:t>老师 　  　</w:t>
      </w:r>
    </w:p>
    <w:p w14:paraId="7FF49416">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023-67623191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023-67506658　　</w:t>
      </w:r>
    </w:p>
    <w:p w14:paraId="0DBD5327">
      <w:pPr>
        <w:autoSpaceDE w:val="0"/>
        <w:autoSpaceDN w:val="0"/>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07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09</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EEE83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4FA8EB0">
      <w:pPr>
        <w:spacing w:line="240" w:lineRule="auto"/>
        <w:ind w:firstLine="442" w:firstLineChars="10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重庆鑫玉建设项目管理有限公司</w:t>
      </w:r>
    </w:p>
    <w:p w14:paraId="2379E507">
      <w:pPr>
        <w:spacing w:line="240" w:lineRule="auto"/>
        <w:ind w:firstLine="442" w:firstLineChars="1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比选文件获取登记</w:t>
      </w:r>
      <w:r>
        <w:rPr>
          <w:rFonts w:hint="eastAsia" w:ascii="方正小标宋_GBK" w:hAnsi="方正小标宋_GBK" w:eastAsia="方正小标宋_GBK" w:cs="方正小标宋_GBK"/>
          <w:b/>
          <w:bCs/>
          <w:sz w:val="44"/>
          <w:szCs w:val="44"/>
        </w:rPr>
        <w:t>表</w:t>
      </w:r>
    </w:p>
    <w:tbl>
      <w:tblPr>
        <w:tblStyle w:val="5"/>
        <w:tblW w:w="9176" w:type="dxa"/>
        <w:jc w:val="center"/>
        <w:tblLayout w:type="fixed"/>
        <w:tblCellMar>
          <w:top w:w="15" w:type="dxa"/>
          <w:left w:w="15" w:type="dxa"/>
          <w:bottom w:w="15" w:type="dxa"/>
          <w:right w:w="15" w:type="dxa"/>
        </w:tblCellMar>
      </w:tblPr>
      <w:tblGrid>
        <w:gridCol w:w="1551"/>
        <w:gridCol w:w="1528"/>
        <w:gridCol w:w="2111"/>
        <w:gridCol w:w="1683"/>
        <w:gridCol w:w="2303"/>
      </w:tblGrid>
      <w:tr w14:paraId="3DCF8041">
        <w:tblPrEx>
          <w:tblCellMar>
            <w:top w:w="15" w:type="dxa"/>
            <w:left w:w="15" w:type="dxa"/>
            <w:bottom w:w="15" w:type="dxa"/>
            <w:right w:w="15" w:type="dxa"/>
          </w:tblCellMar>
        </w:tblPrEx>
        <w:trPr>
          <w:trHeight w:val="913"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14:paraId="14BEB20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kern w:val="0"/>
                <w:sz w:val="24"/>
                <w:szCs w:val="24"/>
                <w:lang w:bidi="ar"/>
              </w:rPr>
              <w:t>项目</w:t>
            </w:r>
            <w:r>
              <w:rPr>
                <w:rFonts w:hint="eastAsia" w:ascii="方正仿宋_GBK" w:hAnsi="方正仿宋_GBK" w:eastAsia="方正仿宋_GBK" w:cs="方正仿宋_GBK"/>
                <w:b w:val="0"/>
                <w:bCs/>
                <w:color w:val="000000"/>
                <w:kern w:val="0"/>
                <w:sz w:val="24"/>
                <w:szCs w:val="24"/>
                <w:lang w:val="en-US" w:eastAsia="zh-CN" w:bidi="ar"/>
              </w:rPr>
              <w:t>名称</w:t>
            </w:r>
          </w:p>
        </w:tc>
        <w:tc>
          <w:tcPr>
            <w:tcW w:w="3639" w:type="dxa"/>
            <w:gridSpan w:val="2"/>
            <w:tcBorders>
              <w:top w:val="single" w:color="000000" w:sz="4" w:space="0"/>
              <w:left w:val="single" w:color="000000" w:sz="4" w:space="0"/>
              <w:bottom w:val="single" w:color="000000" w:sz="4" w:space="0"/>
              <w:right w:val="single" w:color="000000" w:sz="4" w:space="0"/>
            </w:tcBorders>
            <w:noWrap w:val="0"/>
            <w:vAlign w:val="center"/>
          </w:tcPr>
          <w:p w14:paraId="16274747">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重庆市第十八中学铁山坪校区逹才楼2-3楼国际部维修改造工程</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3BB9BDE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项目编号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C51AE4B">
            <w:pPr>
              <w:keepNext w:val="0"/>
              <w:keepLines w:val="0"/>
              <w:pageBreakBefore w:val="0"/>
              <w:kinsoku/>
              <w:wordWrap/>
              <w:overflowPunct/>
              <w:topLinePunct w:val="0"/>
              <w:autoSpaceDE/>
              <w:autoSpaceDN/>
              <w:bidi w:val="0"/>
              <w:adjustRightInd/>
              <w:snapToGrid/>
              <w:spacing w:line="500" w:lineRule="exact"/>
              <w:jc w:val="center"/>
              <w:rPr>
                <w:rFonts w:hint="default" w:ascii="方正仿宋_GBK" w:hAnsi="方正仿宋_GBK" w:eastAsia="方正仿宋_GBK" w:cs="方正仿宋_GBK"/>
                <w:b w:val="0"/>
                <w:bCs/>
                <w:sz w:val="24"/>
                <w:szCs w:val="24"/>
                <w:lang w:val="en-US" w:eastAsia="zh-CN"/>
              </w:rPr>
            </w:pPr>
            <w:r>
              <w:rPr>
                <w:rFonts w:hint="default" w:ascii="方正仿宋_GBK" w:hAnsi="方正仿宋_GBK" w:eastAsia="方正仿宋_GBK" w:cs="方正仿宋_GBK"/>
                <w:b w:val="0"/>
                <w:bCs/>
                <w:sz w:val="24"/>
                <w:szCs w:val="24"/>
                <w:lang w:val="en-US" w:eastAsia="zh-CN"/>
              </w:rPr>
              <w:t>CQXY-ZB-20240</w:t>
            </w:r>
            <w:r>
              <w:rPr>
                <w:rFonts w:hint="eastAsia" w:ascii="方正仿宋_GBK" w:hAnsi="方正仿宋_GBK" w:eastAsia="方正仿宋_GBK" w:cs="方正仿宋_GBK"/>
                <w:b w:val="0"/>
                <w:bCs/>
                <w:sz w:val="24"/>
                <w:szCs w:val="24"/>
                <w:lang w:val="en-US" w:eastAsia="zh-CN"/>
              </w:rPr>
              <w:t>50</w:t>
            </w:r>
            <w:bookmarkStart w:id="3" w:name="_GoBack"/>
            <w:bookmarkEnd w:id="3"/>
          </w:p>
        </w:tc>
      </w:tr>
      <w:tr w14:paraId="6E0F5ECC">
        <w:tblPrEx>
          <w:tblCellMar>
            <w:top w:w="15" w:type="dxa"/>
            <w:left w:w="15" w:type="dxa"/>
            <w:bottom w:w="15" w:type="dxa"/>
            <w:right w:w="15" w:type="dxa"/>
          </w:tblCellMar>
        </w:tblPrEx>
        <w:trPr>
          <w:trHeight w:val="62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14:paraId="6E15870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bookmarkStart w:id="2" w:name="OLE_LINK5" w:colFirst="1" w:colLast="1"/>
            <w:r>
              <w:rPr>
                <w:rFonts w:hint="eastAsia" w:ascii="方正仿宋_GBK" w:hAnsi="方正仿宋_GBK" w:eastAsia="方正仿宋_GBK" w:cs="方正仿宋_GBK"/>
                <w:b w:val="0"/>
                <w:bCs/>
                <w:color w:val="000000"/>
                <w:kern w:val="0"/>
                <w:sz w:val="24"/>
                <w:szCs w:val="24"/>
                <w:lang w:val="en-US" w:eastAsia="zh-CN" w:bidi="ar"/>
              </w:rPr>
              <w:t>比选招标人</w:t>
            </w:r>
          </w:p>
        </w:tc>
        <w:tc>
          <w:tcPr>
            <w:tcW w:w="7625" w:type="dxa"/>
            <w:gridSpan w:val="4"/>
            <w:tcBorders>
              <w:top w:val="single" w:color="000000" w:sz="4" w:space="0"/>
              <w:left w:val="single" w:color="000000" w:sz="4" w:space="0"/>
              <w:bottom w:val="single" w:color="000000" w:sz="4" w:space="0"/>
              <w:right w:val="single" w:color="000000" w:sz="4" w:space="0"/>
            </w:tcBorders>
            <w:noWrap w:val="0"/>
            <w:vAlign w:val="center"/>
          </w:tcPr>
          <w:p w14:paraId="59BE14EE">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重庆市第十八中学</w:t>
            </w:r>
          </w:p>
        </w:tc>
      </w:tr>
      <w:tr w14:paraId="72581AEF">
        <w:tblPrEx>
          <w:tblCellMar>
            <w:top w:w="15" w:type="dxa"/>
            <w:left w:w="15" w:type="dxa"/>
            <w:bottom w:w="15" w:type="dxa"/>
            <w:right w:w="15" w:type="dxa"/>
          </w:tblCellMar>
        </w:tblPrEx>
        <w:trPr>
          <w:trHeight w:val="644" w:hRule="atLeast"/>
          <w:jc w:val="center"/>
        </w:trPr>
        <w:tc>
          <w:tcPr>
            <w:tcW w:w="1551" w:type="dxa"/>
            <w:tcBorders>
              <w:top w:val="single" w:color="000000" w:sz="4" w:space="0"/>
              <w:left w:val="single" w:color="000000" w:sz="4" w:space="0"/>
              <w:bottom w:val="single" w:color="000000" w:sz="4" w:space="0"/>
              <w:right w:val="single" w:color="000000" w:sz="4" w:space="0"/>
            </w:tcBorders>
            <w:noWrap w:val="0"/>
            <w:vAlign w:val="center"/>
          </w:tcPr>
          <w:p w14:paraId="7D9AB48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val="en-US" w:eastAsia="zh-CN" w:bidi="ar"/>
              </w:rPr>
              <w:t>咨询机构</w:t>
            </w:r>
          </w:p>
        </w:tc>
        <w:tc>
          <w:tcPr>
            <w:tcW w:w="7625" w:type="dxa"/>
            <w:gridSpan w:val="4"/>
            <w:tcBorders>
              <w:top w:val="single" w:color="000000" w:sz="4" w:space="0"/>
              <w:left w:val="single" w:color="000000" w:sz="4" w:space="0"/>
              <w:bottom w:val="single" w:color="000000" w:sz="4" w:space="0"/>
              <w:right w:val="single" w:color="000000" w:sz="4" w:space="0"/>
            </w:tcBorders>
            <w:noWrap w:val="0"/>
            <w:vAlign w:val="center"/>
          </w:tcPr>
          <w:p w14:paraId="4F4ED482">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rPr>
              <w:t>重庆鑫玉建设项目管理有限公司</w:t>
            </w:r>
          </w:p>
        </w:tc>
      </w:tr>
      <w:tr w14:paraId="55CD41D6">
        <w:tblPrEx>
          <w:tblCellMar>
            <w:top w:w="15" w:type="dxa"/>
            <w:left w:w="15" w:type="dxa"/>
            <w:bottom w:w="15" w:type="dxa"/>
            <w:right w:w="15" w:type="dxa"/>
          </w:tblCellMar>
        </w:tblPrEx>
        <w:trPr>
          <w:trHeight w:val="765" w:hRule="atLeast"/>
          <w:jc w:val="center"/>
        </w:trPr>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14:paraId="36EA00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val="en-US" w:eastAsia="zh-CN" w:bidi="ar"/>
              </w:rPr>
              <w:t>竞标单位填写</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05EF09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0"/>
                <w:sz w:val="24"/>
                <w:szCs w:val="24"/>
                <w:lang w:val="en-US" w:eastAsia="zh-CN" w:bidi="ar"/>
              </w:rPr>
            </w:pPr>
            <w:r>
              <w:rPr>
                <w:rFonts w:hint="eastAsia" w:ascii="方正仿宋_GBK" w:hAnsi="方正仿宋_GBK" w:eastAsia="方正仿宋_GBK" w:cs="方正仿宋_GBK"/>
                <w:b w:val="0"/>
                <w:bCs/>
                <w:color w:val="000000"/>
                <w:kern w:val="0"/>
                <w:sz w:val="24"/>
                <w:szCs w:val="24"/>
                <w:lang w:bidi="ar"/>
              </w:rPr>
              <w:t>单位名称</w:t>
            </w:r>
          </w:p>
        </w:tc>
        <w:tc>
          <w:tcPr>
            <w:tcW w:w="6097" w:type="dxa"/>
            <w:gridSpan w:val="3"/>
            <w:tcBorders>
              <w:top w:val="single" w:color="000000" w:sz="4" w:space="0"/>
              <w:left w:val="single" w:color="auto" w:sz="4" w:space="0"/>
              <w:bottom w:val="single" w:color="000000" w:sz="4" w:space="0"/>
              <w:right w:val="single" w:color="000000" w:sz="4" w:space="0"/>
            </w:tcBorders>
            <w:noWrap w:val="0"/>
            <w:vAlign w:val="center"/>
          </w:tcPr>
          <w:p w14:paraId="1F572860">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sz w:val="24"/>
                <w:szCs w:val="24"/>
                <w:lang w:val="en-US" w:eastAsia="zh-CN"/>
              </w:rPr>
              <w:t xml:space="preserve">                                 </w:t>
            </w:r>
            <w:r>
              <w:rPr>
                <w:rFonts w:hint="eastAsia" w:ascii="方正仿宋_GBK" w:hAnsi="方正仿宋_GBK" w:eastAsia="方正仿宋_GBK" w:cs="方正仿宋_GBK"/>
                <w:b w:val="0"/>
                <w:bCs/>
                <w:color w:val="000000"/>
                <w:sz w:val="24"/>
                <w:szCs w:val="24"/>
                <w:lang w:eastAsia="zh-CN"/>
              </w:rPr>
              <w:t>（</w:t>
            </w:r>
            <w:r>
              <w:rPr>
                <w:rFonts w:hint="eastAsia" w:ascii="方正仿宋_GBK" w:hAnsi="方正仿宋_GBK" w:eastAsia="方正仿宋_GBK" w:cs="方正仿宋_GBK"/>
                <w:b w:val="0"/>
                <w:bCs/>
                <w:color w:val="000000"/>
                <w:sz w:val="24"/>
                <w:szCs w:val="24"/>
                <w:lang w:val="en-US" w:eastAsia="zh-CN"/>
              </w:rPr>
              <w:t>加盖公章</w:t>
            </w:r>
            <w:r>
              <w:rPr>
                <w:rFonts w:hint="eastAsia" w:ascii="方正仿宋_GBK" w:hAnsi="方正仿宋_GBK" w:eastAsia="方正仿宋_GBK" w:cs="方正仿宋_GBK"/>
                <w:b w:val="0"/>
                <w:bCs/>
                <w:color w:val="000000"/>
                <w:sz w:val="24"/>
                <w:szCs w:val="24"/>
                <w:lang w:eastAsia="zh-CN"/>
              </w:rPr>
              <w:t>）</w:t>
            </w:r>
          </w:p>
        </w:tc>
      </w:tr>
      <w:bookmarkEnd w:id="2"/>
      <w:tr w14:paraId="521C4603">
        <w:tblPrEx>
          <w:tblCellMar>
            <w:top w:w="15" w:type="dxa"/>
            <w:left w:w="15" w:type="dxa"/>
            <w:bottom w:w="15" w:type="dxa"/>
            <w:right w:w="15" w:type="dxa"/>
          </w:tblCellMar>
        </w:tblPrEx>
        <w:trPr>
          <w:trHeight w:val="702"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14:paraId="5E45F62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AB0815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kern w:val="2"/>
                <w:sz w:val="24"/>
                <w:szCs w:val="24"/>
                <w:lang w:val="en-US" w:eastAsia="zh-CN" w:bidi="ar-SA"/>
              </w:rPr>
            </w:pPr>
            <w:r>
              <w:rPr>
                <w:rFonts w:hint="eastAsia" w:ascii="方正仿宋_GBK" w:hAnsi="方正仿宋_GBK" w:eastAsia="方正仿宋_GBK" w:cs="方正仿宋_GBK"/>
                <w:b w:val="0"/>
                <w:bCs/>
                <w:color w:val="000000"/>
                <w:kern w:val="0"/>
                <w:sz w:val="24"/>
                <w:szCs w:val="24"/>
                <w:lang w:eastAsia="zh-CN" w:bidi="ar"/>
              </w:rPr>
              <w:t>单位</w:t>
            </w:r>
            <w:r>
              <w:rPr>
                <w:rFonts w:hint="eastAsia" w:ascii="方正仿宋_GBK" w:hAnsi="方正仿宋_GBK" w:eastAsia="方正仿宋_GBK" w:cs="方正仿宋_GBK"/>
                <w:b w:val="0"/>
                <w:bCs/>
                <w:color w:val="000000"/>
                <w:kern w:val="0"/>
                <w:sz w:val="24"/>
                <w:szCs w:val="24"/>
                <w:lang w:bidi="ar"/>
              </w:rPr>
              <w:t>地址</w:t>
            </w:r>
          </w:p>
        </w:tc>
        <w:tc>
          <w:tcPr>
            <w:tcW w:w="6097" w:type="dxa"/>
            <w:gridSpan w:val="3"/>
            <w:tcBorders>
              <w:top w:val="single" w:color="000000" w:sz="4" w:space="0"/>
              <w:left w:val="single" w:color="auto" w:sz="4" w:space="0"/>
              <w:bottom w:val="single" w:color="000000" w:sz="4" w:space="0"/>
              <w:right w:val="single" w:color="000000" w:sz="4" w:space="0"/>
            </w:tcBorders>
            <w:noWrap w:val="0"/>
            <w:vAlign w:val="center"/>
          </w:tcPr>
          <w:p w14:paraId="0122F1C4">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p>
        </w:tc>
      </w:tr>
      <w:tr w14:paraId="3FDB776C">
        <w:tblPrEx>
          <w:tblCellMar>
            <w:top w:w="15" w:type="dxa"/>
            <w:left w:w="15" w:type="dxa"/>
            <w:bottom w:w="15" w:type="dxa"/>
            <w:right w:w="15" w:type="dxa"/>
          </w:tblCellMar>
        </w:tblPrEx>
        <w:trPr>
          <w:trHeight w:val="504"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14:paraId="50E1E68E">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528" w:type="dxa"/>
            <w:vMerge w:val="restart"/>
            <w:tcBorders>
              <w:top w:val="single" w:color="auto" w:sz="4" w:space="0"/>
              <w:left w:val="single" w:color="auto" w:sz="4" w:space="0"/>
              <w:bottom w:val="single" w:color="auto" w:sz="4" w:space="0"/>
              <w:right w:val="single" w:color="auto" w:sz="4" w:space="0"/>
            </w:tcBorders>
            <w:noWrap w:val="0"/>
            <w:vAlign w:val="center"/>
          </w:tcPr>
          <w:p w14:paraId="02C424F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eastAsia="zh-CN"/>
              </w:rPr>
            </w:pPr>
            <w:r>
              <w:rPr>
                <w:rFonts w:hint="eastAsia" w:ascii="方正仿宋_GBK" w:hAnsi="方正仿宋_GBK" w:eastAsia="方正仿宋_GBK" w:cs="方正仿宋_GBK"/>
                <w:b w:val="0"/>
                <w:bCs/>
                <w:color w:val="000000"/>
                <w:kern w:val="0"/>
                <w:sz w:val="24"/>
                <w:szCs w:val="24"/>
                <w:lang w:eastAsia="zh-CN" w:bidi="ar"/>
              </w:rPr>
              <w:t>联系人</w:t>
            </w:r>
          </w:p>
        </w:tc>
        <w:tc>
          <w:tcPr>
            <w:tcW w:w="2111" w:type="dxa"/>
            <w:tcBorders>
              <w:top w:val="single" w:color="000000" w:sz="4" w:space="0"/>
              <w:left w:val="single" w:color="auto" w:sz="4" w:space="0"/>
              <w:bottom w:val="single" w:color="000000" w:sz="4" w:space="0"/>
              <w:right w:val="single" w:color="000000" w:sz="4" w:space="0"/>
            </w:tcBorders>
            <w:noWrap w:val="0"/>
            <w:vAlign w:val="center"/>
          </w:tcPr>
          <w:p w14:paraId="59D2234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409A83D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bidi="ar"/>
              </w:rPr>
              <w:t>电子邮箱</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5CE4FE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手机</w:t>
            </w:r>
          </w:p>
        </w:tc>
      </w:tr>
      <w:tr w14:paraId="19E71981">
        <w:tblPrEx>
          <w:tblCellMar>
            <w:top w:w="15" w:type="dxa"/>
            <w:left w:w="15" w:type="dxa"/>
            <w:bottom w:w="15" w:type="dxa"/>
            <w:right w:w="15" w:type="dxa"/>
          </w:tblCellMar>
        </w:tblPrEx>
        <w:trPr>
          <w:trHeight w:val="658"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14:paraId="296F5DA9">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528" w:type="dxa"/>
            <w:vMerge w:val="continue"/>
            <w:tcBorders>
              <w:top w:val="single" w:color="auto" w:sz="4" w:space="0"/>
              <w:left w:val="single" w:color="auto" w:sz="4" w:space="0"/>
              <w:bottom w:val="single" w:color="auto" w:sz="4" w:space="0"/>
              <w:right w:val="single" w:color="auto" w:sz="4" w:space="0"/>
            </w:tcBorders>
            <w:noWrap w:val="0"/>
            <w:vAlign w:val="center"/>
          </w:tcPr>
          <w:p w14:paraId="47DB59EE">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2111" w:type="dxa"/>
            <w:tcBorders>
              <w:top w:val="single" w:color="000000" w:sz="4" w:space="0"/>
              <w:left w:val="single" w:color="auto" w:sz="4" w:space="0"/>
              <w:bottom w:val="single" w:color="000000" w:sz="4" w:space="0"/>
              <w:right w:val="single" w:color="000000" w:sz="4" w:space="0"/>
            </w:tcBorders>
            <w:noWrap w:val="0"/>
            <w:vAlign w:val="center"/>
          </w:tcPr>
          <w:p w14:paraId="3C39263E">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1683" w:type="dxa"/>
            <w:tcBorders>
              <w:top w:val="single" w:color="000000" w:sz="4" w:space="0"/>
              <w:left w:val="single" w:color="000000" w:sz="4" w:space="0"/>
              <w:bottom w:val="single" w:color="000000" w:sz="4" w:space="0"/>
              <w:right w:val="single" w:color="000000" w:sz="4" w:space="0"/>
            </w:tcBorders>
            <w:noWrap w:val="0"/>
            <w:vAlign w:val="center"/>
          </w:tcPr>
          <w:p w14:paraId="6FFBB115">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6495D38">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rPr>
            </w:pPr>
          </w:p>
        </w:tc>
      </w:tr>
      <w:tr w14:paraId="0D2AA78E">
        <w:tblPrEx>
          <w:tblCellMar>
            <w:top w:w="15" w:type="dxa"/>
            <w:left w:w="15" w:type="dxa"/>
            <w:bottom w:w="15" w:type="dxa"/>
            <w:right w:w="15" w:type="dxa"/>
          </w:tblCellMar>
        </w:tblPrEx>
        <w:trPr>
          <w:trHeight w:val="990"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14:paraId="38E7A6F4">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82CABA1">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申请获取文件时间</w:t>
            </w:r>
          </w:p>
        </w:tc>
        <w:tc>
          <w:tcPr>
            <w:tcW w:w="6097" w:type="dxa"/>
            <w:gridSpan w:val="3"/>
            <w:tcBorders>
              <w:top w:val="single" w:color="000000" w:sz="4" w:space="0"/>
              <w:left w:val="single" w:color="auto" w:sz="4" w:space="0"/>
              <w:bottom w:val="single" w:color="auto" w:sz="4" w:space="0"/>
              <w:right w:val="single" w:color="000000" w:sz="4" w:space="0"/>
            </w:tcBorders>
            <w:noWrap w:val="0"/>
            <w:vAlign w:val="center"/>
          </w:tcPr>
          <w:p w14:paraId="0D4E9120">
            <w:pPr>
              <w:keepNext w:val="0"/>
              <w:keepLines w:val="0"/>
              <w:pageBreakBefore w:val="0"/>
              <w:kinsoku/>
              <w:wordWrap/>
              <w:overflowPunct/>
              <w:topLinePunct w:val="0"/>
              <w:autoSpaceDE/>
              <w:autoSpaceDN/>
              <w:bidi w:val="0"/>
              <w:adjustRightInd/>
              <w:snapToGrid/>
              <w:spacing w:line="500" w:lineRule="exact"/>
              <w:jc w:val="center"/>
              <w:rPr>
                <w:rFonts w:hint="default" w:ascii="方正仿宋_GBK" w:hAnsi="方正仿宋_GBK" w:eastAsia="方正仿宋_GBK" w:cs="方正仿宋_GBK"/>
                <w:b w:val="0"/>
                <w:bCs/>
                <w:color w:val="000000"/>
                <w:sz w:val="24"/>
                <w:szCs w:val="24"/>
                <w:lang w:val="en-US" w:eastAsia="zh-CN"/>
              </w:rPr>
            </w:pPr>
            <w:r>
              <w:rPr>
                <w:rFonts w:hint="eastAsia" w:ascii="方正仿宋_GBK" w:hAnsi="方正仿宋_GBK" w:eastAsia="方正仿宋_GBK" w:cs="方正仿宋_GBK"/>
                <w:b w:val="0"/>
                <w:bCs/>
                <w:color w:val="000000"/>
                <w:sz w:val="24"/>
                <w:szCs w:val="24"/>
                <w:lang w:val="en-US" w:eastAsia="zh-CN"/>
              </w:rPr>
              <w:t>2024年    月   日   时   分</w:t>
            </w:r>
          </w:p>
        </w:tc>
      </w:tr>
      <w:tr w14:paraId="21B7BFD8">
        <w:tblPrEx>
          <w:tblCellMar>
            <w:top w:w="15" w:type="dxa"/>
            <w:left w:w="15" w:type="dxa"/>
            <w:bottom w:w="15" w:type="dxa"/>
            <w:right w:w="15" w:type="dxa"/>
          </w:tblCellMar>
        </w:tblPrEx>
        <w:trPr>
          <w:trHeight w:val="990" w:hRule="atLeast"/>
          <w:jc w:val="center"/>
        </w:trPr>
        <w:tc>
          <w:tcPr>
            <w:tcW w:w="1551" w:type="dxa"/>
            <w:tcBorders>
              <w:top w:val="single" w:color="auto" w:sz="4" w:space="0"/>
              <w:left w:val="single" w:color="auto" w:sz="4" w:space="0"/>
              <w:bottom w:val="single" w:color="auto" w:sz="4" w:space="0"/>
              <w:right w:val="single" w:color="auto" w:sz="4" w:space="0"/>
            </w:tcBorders>
            <w:noWrap w:val="0"/>
            <w:vAlign w:val="center"/>
          </w:tcPr>
          <w:p w14:paraId="3434BD1F">
            <w:pPr>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bCs w:val="0"/>
                <w:color w:val="000000"/>
                <w:sz w:val="24"/>
                <w:szCs w:val="24"/>
                <w:lang w:val="en-US" w:eastAsia="zh-CN"/>
              </w:rPr>
              <w:t>备注</w:t>
            </w:r>
          </w:p>
        </w:tc>
        <w:tc>
          <w:tcPr>
            <w:tcW w:w="7625" w:type="dxa"/>
            <w:gridSpan w:val="4"/>
            <w:tcBorders>
              <w:top w:val="single" w:color="auto" w:sz="4" w:space="0"/>
              <w:left w:val="single" w:color="auto" w:sz="4" w:space="0"/>
              <w:bottom w:val="single" w:color="auto" w:sz="4" w:space="0"/>
              <w:right w:val="single" w:color="auto" w:sz="4" w:space="0"/>
            </w:tcBorders>
            <w:noWrap w:val="0"/>
            <w:vAlign w:val="center"/>
          </w:tcPr>
          <w:p w14:paraId="7302A09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方正仿宋_GBK" w:hAnsi="方正仿宋_GBK" w:eastAsia="方正仿宋_GBK" w:cs="方正仿宋_GBK"/>
                <w:b w:val="0"/>
                <w:bCs/>
                <w:color w:val="000000"/>
                <w:sz w:val="21"/>
                <w:szCs w:val="21"/>
                <w:lang w:val="en-US" w:eastAsia="zh-CN"/>
              </w:rPr>
            </w:pPr>
            <w:r>
              <w:rPr>
                <w:rFonts w:hint="eastAsia" w:ascii="方正仿宋_GBK" w:hAnsi="方正仿宋_GBK" w:eastAsia="方正仿宋_GBK" w:cs="方正仿宋_GBK"/>
                <w:b w:val="0"/>
                <w:bCs/>
                <w:color w:val="000000"/>
                <w:sz w:val="21"/>
                <w:szCs w:val="21"/>
                <w:lang w:val="en-US" w:eastAsia="zh-CN"/>
              </w:rPr>
              <w:t>本项目竞争性比选文件费为300元/包，供应商可以通过网络登记或者现场登记方式在咨询机构处购买竞争性比选文件，未在咨询机构登记获取竞争性比选文件的，没有资格参加本项目的比选活动，响应文件按无效响应处理。含有同一股东的不同供应商申请登记的，以先登记成功的为准，比选招标人及咨询机构将拒绝向后申请的同一股东的不同供应商发售竞争性比选文件。</w:t>
            </w:r>
          </w:p>
          <w:p w14:paraId="05E2AC11">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方正仿宋_GBK" w:hAnsi="方正仿宋_GBK" w:eastAsia="方正仿宋_GBK" w:cs="方正仿宋_GBK"/>
                <w:b w:val="0"/>
                <w:bCs/>
                <w:color w:val="000000"/>
                <w:sz w:val="21"/>
                <w:szCs w:val="21"/>
                <w:lang w:val="en-US" w:eastAsia="zh-CN"/>
              </w:rPr>
            </w:pPr>
            <w:r>
              <w:rPr>
                <w:rFonts w:hint="eastAsia" w:ascii="方正仿宋_GBK" w:hAnsi="方正仿宋_GBK" w:eastAsia="方正仿宋_GBK" w:cs="方正仿宋_GBK"/>
                <w:b w:val="0"/>
                <w:bCs/>
                <w:color w:val="000000"/>
                <w:sz w:val="21"/>
                <w:szCs w:val="21"/>
                <w:lang w:val="en-US" w:eastAsia="zh-CN"/>
              </w:rPr>
              <w:t>1、网络登记方式：请将“营业执照、《登记表》（填写完所有信息并加盖供应商公章）、股东构成证明文件”扫描件发送至邮箱cqxinyu2014@163.com并致电咨询机构进行登记缴费后，咨询机构工作人员将竞争性比选文件通过电子邮件的方式发送至登记的供应商代表的邮箱。</w:t>
            </w:r>
          </w:p>
          <w:p w14:paraId="6A847C9C">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方正仿宋_GBK" w:hAnsi="方正仿宋_GBK" w:eastAsia="方正仿宋_GBK" w:cs="方正仿宋_GBK"/>
                <w:b/>
                <w:bCs w:val="0"/>
                <w:color w:val="000000"/>
                <w:sz w:val="24"/>
                <w:szCs w:val="24"/>
                <w:lang w:val="en-US" w:eastAsia="zh-CN"/>
              </w:rPr>
            </w:pPr>
            <w:r>
              <w:rPr>
                <w:rFonts w:hint="eastAsia" w:ascii="方正仿宋_GBK" w:hAnsi="方正仿宋_GBK" w:eastAsia="方正仿宋_GBK" w:cs="方正仿宋_GBK"/>
                <w:b w:val="0"/>
                <w:bCs/>
                <w:color w:val="000000"/>
                <w:sz w:val="21"/>
                <w:szCs w:val="21"/>
                <w:lang w:val="en-US" w:eastAsia="zh-CN"/>
              </w:rPr>
              <w:t>2、现场登记方式：供应商代表持“营业执照、《登记表》（填写完所有信息并加盖比选招标人公章）原件、股东构成证明文件”到重庆鑫玉建设项目管理有限公司（重庆市渝北区佳园路66号浩博星辰8F）处购买各分包的争性比选文件。</w:t>
            </w:r>
          </w:p>
        </w:tc>
      </w:tr>
    </w:tbl>
    <w:p w14:paraId="6C433F02">
      <w:pPr>
        <w:pStyle w:val="2"/>
        <w:rPr>
          <w:rFonts w:hint="eastAsia"/>
        </w:rPr>
      </w:pPr>
    </w:p>
    <w:bookmarkEnd w:id="0"/>
    <w:bookmarkEnd w:id="1"/>
    <w:p w14:paraId="59576C1A"/>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OWE5Yjc4MTRiMzZiMjJlOTRkMGFiNGViZThjYzAifQ=="/>
  </w:docVars>
  <w:rsids>
    <w:rsidRoot w:val="16242014"/>
    <w:rsid w:val="12105979"/>
    <w:rsid w:val="12516E6E"/>
    <w:rsid w:val="16242014"/>
    <w:rsid w:val="1ACB580E"/>
    <w:rsid w:val="284B3726"/>
    <w:rsid w:val="545A35BB"/>
    <w:rsid w:val="64801AB7"/>
    <w:rsid w:val="6CED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1835</Words>
  <Characters>2009</Characters>
  <Lines>0</Lines>
  <Paragraphs>0</Paragraphs>
  <TotalTime>0</TotalTime>
  <ScaleCrop>false</ScaleCrop>
  <LinksUpToDate>false</LinksUpToDate>
  <CharactersWithSpaces>2202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2024-07-09T08:30:00Z</dcterms:created>
  <dc:creator>廖小姐</dc:creator>
  <cp:lastModifiedBy>廖小姐</cp:lastModifiedBy>
  <dcterms:modified xsi:type="dcterms:W3CDTF">2024-07-09T08:35:15Z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C2A63CAEF1D149E7B40D6D955B75F282_11</vt:lpwstr>
  </property>
</Properties>
</file>